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right"/>
        <w:rPr>
          <w:sz w:val="2"/>
          <w:szCs w:val="2"/>
        </w:rPr>
      </w:pPr>
      <w:r>
        <w:drawing>
          <wp:inline>
            <wp:extent cx="956945" cy="34734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56945" cy="3473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370232 009317</w:t>
      </w:r>
    </w:p>
    <w:p>
      <w:pPr>
        <w:widowControl w:val="0"/>
        <w:spacing w:after="1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Новое в законодательстве на 16.11.2023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закон от 14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536-ФЗ "О внесении изменения в статью 333.36 части второй Налогового кодекса Российской Федерации”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Детских омбудсменов освободили от уплаты госпошлины при обращении в суд.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Подписан закон об освобождении уполномоченных по правам ребенка в регионах от уплаты госпошлины при обращении в суд.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 вступает в силу через месяц после официального опубликования.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закон от 14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535-ФЗ "О внесении изменений в Федеральный закон ”О почтовой связи” и отдельные законодательные акты Российской Федерации”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Президент подписал закон о спецпочте.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Установлены основы деятельности в области специальной почтовой связи. Введено определение данного вида связи, закреплены правовой статус уполномоченной организации, требования к транспортным средствам и работникам спецсвязи.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Услуги спецпочты включают прием, перевозку и вручение материалов, содержащих гостайну, драгоценных металлов и камней, ювелирных изделий, российских денег и инвалюты, оружия, патронов к нему, боеприпасов, продукции военного назначения, вооружения и военной техники, взрывчатых веществ и взрывных устройств, наркотических средств, психотропных веществ и их прекурсоров, защищенной от подделок полиграфической продукции.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Автомобили спецпочты в качестве отличительных знаков имеют белую продольную полосу, эмблему. При этом организация вправе использовать транспорт без отличительных символов. Предусмотрена возможность оборудования транспортных средств проблесковыми маячками бело-лунного цвета и специальными звуковыми сигналами. Такие автомобили могут беспрепятственно проезжать по всем улицам населенных пунктов и дорогам страны, а также заправляться горючим вне очереди наряду с автомобилями оперативных и специальных служб. Закон вступает в силу с 1 апреля 2024 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закон ог 14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533-ФЗ "О внесении изменений в сгатыо 217 части второй Налогового кодекса Российской Федерации”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Получателей региональных и местных грантов, премий и подарков освободили от НДФЛ.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НК РФ внесены поправки, которыми с 2024 г. от НДФЛ освобождаются: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5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гранты, премии, призы и подарки, полученные на региональных и местных соревнованиях и конкурсах;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325" w:left="1726" w:right="746" w:bottom="268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Прокуратура Калужской области</w:t>
        <w:br/>
        <w:t>№ Вн-20290031-2499-23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22" w:val="left"/>
        </w:tabs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средства, полученные из региональных и местных бюджетов на проезд до места проведения указанных мероприятий и обратно, а также на питание и проживание;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913" w:val="left"/>
        </w:tabs>
        <w:bidi w:val="0"/>
        <w:spacing w:before="0" w:after="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единовременная выплата в связи с награждением орденом или медалью ордена "Родительская слава", а также в связи с присвоением звания "Мать- героиня".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59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 вступает в силу со дня официального опубликования, за исключением отдельных положений, для которых предусмотрен иной срок введения в действие.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закон от 14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531-ФЗ "О внесении изменений в Федеральный закон ”06 основных гарантиях избирательных прав и права на участие в референдуме граждан Российской Федерации” и статью 1 Федерального закона "О контрактной системе в сфере закупок товаров, работ, услуг для обеспечения государственных и муниципальных нужд"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законодательство ввели нормы о выборах в условиях военного положения.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Закон об основных гарантиях избирательных прав внесены изменения, устанавливающие особенности проведения выборов на территориях, где введено военное положение.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Так, решение о проведении выборов федерального уровня будет принимать ЦИК после консультаций с Минобороны, ФСБ и главой региона. Возможно сокращение сроков избирательных действий.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Федеральный закон от 14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530-ФЗ "О внесении изменений в Федеральный закон "О выборах Президента Российской Федерации"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Нормы о выборах Президента приведены в соответствие с ранее внесенными изменениями в федеральные законы.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ЦИК может устанавливать особенности подготовки и проведения выборов Президента в период действия военного положения на части территории России.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избирательных участках, образованных за границей, продолжительность голосования можно изменить, если его проведение угрожает жизни и здоровью граждан России.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Фото- и видеосъемку на избирательных участках могут вести только лица, имеющие на это право в соответствии с законом.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появлении судимости у зарегистрированного кандидата сведения об этом нужно представить в письменной форме в избирательную комиссию. Подготовку и проведение выборов можно софинансировать из региональных и местных бюджетов.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Получить аккредитацию для присутствия на заседаниях избирательных комиссий при установлении итогов, определении результатов и подсчете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голосов могут только представители СМИ. работающие в редакциях на основании трудового договора.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Закон вступает в силу со дня официального опубликования.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Распоряжение Правительства РФ от 10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3147-р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Правительство определило параметры очередного повышения цен на ЖКУ.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6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Утверждены индексы изменения платы за коммунальные услуги на 2024-2028 гг. Первая индексация пройдет во II полугодии 2024 г. и в большинстве регионов составит около 9-10%. Как пояснило Минэкономразвития, у средней российской семьи размер платы вырастет на 500-550 руб.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Постановление Конституционного Суда РФ ог 13 ноября 2023 г.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52-П "По делу о проверке конституционности пункта 2 примечаний к статье 222.1 Уголовного кодекса Российской Федерации в связи с запросом Вичугского городского суда Ивановской области"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КС РФ разъяснил вопросы об ответственности за незаконные действия с порохом для гражданского оружия.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Оспаривались нормы, касающиеся ответственности за незаконные действия со взрывчатыми веществами.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запросом обратился суд, рассматривающий уголовное дело о хранении и сбыте пороха для охотничьего оружия. Как указал заявитель, нормы, закрепляя понятие "взрывчатые вещества", позволяют привлечь к ответственности лицо, которое ранее до совершения вменяемого деяния законно приобрело такой порох для снаряжения патронов. КС РФ счел положения конституционными.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Нормы не разграничивают наказание в зависимости от вида взрывчатых веществ, их количества и качества, других обстоятельств. Значительные санкции введены с учетом возможности использовать подобные вещества в террористической и другой аналогичной деятельности. Данный подход не противоречит Конституции РФ.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Порох, предназначенный для самостоятельного снаряжения патронов к гражданскому длинноствольному оружию, относится к взрывчатым веществам. При сомнениях проводят экспертизу.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этом суды могут обеспечивать справедливость и соразмерность оценки содеянного. Такое возможно и в ситуации, когда упомянутый порох, ранее приобретенный законно, затем неправомерно хранился или был сбыт в количестве, явно предназначенном для личных целей, что не вызывает сомнений.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этом случае суды могут рассмотреть вопрос о малозначительности инкриминируемого деяния; назначить более мягкое наказание, в т. ч. ниже низшего предела; изменить категорию преступления на менее тяжкую; применить условное осуждение.</w:t>
      </w:r>
    </w:p>
    <w:sectPr>
      <w:headerReference w:type="default" r:id="rId7"/>
      <w:footnotePr>
        <w:pos w:val="pageBottom"/>
        <w:numFmt w:val="decimal"/>
        <w:numRestart w:val="continuous"/>
      </w:footnotePr>
      <w:pgSz w:w="11900" w:h="16840"/>
      <w:pgMar w:top="1266" w:left="1703" w:right="742" w:bottom="1337" w:header="0" w:footer="909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499110</wp:posOffset>
              </wp:positionV>
              <wp:extent cx="54610" cy="91440"/>
              <wp:wrapNone/>
              <wp:docPr id="2" name="Shape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914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9.85000000000002pt;margin-top:39.299999999999997pt;width:4.2999999999999998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Основной текст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0">
    <w:name w:val="Колонтитул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spacing w:after="240" w:line="295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9">
    <w:name w:val="Колонтитул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